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D2" w:rsidRDefault="00026BD2" w:rsidP="00F02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26BD2" w:rsidRDefault="00026BD2" w:rsidP="007E4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26BD2" w:rsidRPr="006E7C15" w:rsidRDefault="00026BD2" w:rsidP="00026B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21693C95" wp14:editId="5D45ED87">
            <wp:simplePos x="0" y="0"/>
            <wp:positionH relativeFrom="rightMargin">
              <wp:align>left</wp:align>
            </wp:positionH>
            <wp:positionV relativeFrom="paragraph">
              <wp:posOffset>47625</wp:posOffset>
            </wp:positionV>
            <wp:extent cx="658495" cy="712470"/>
            <wp:effectExtent l="0" t="0" r="8255" b="0"/>
            <wp:wrapSquare wrapText="bothSides"/>
            <wp:docPr id="2" name="Imagen 2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5EB6463B" wp14:editId="11B13EBF">
            <wp:simplePos x="0" y="0"/>
            <wp:positionH relativeFrom="margin">
              <wp:posOffset>-588010</wp:posOffset>
            </wp:positionH>
            <wp:positionV relativeFrom="paragraph">
              <wp:posOffset>3175</wp:posOffset>
            </wp:positionV>
            <wp:extent cx="1010920" cy="688340"/>
            <wp:effectExtent l="0" t="0" r="0" b="0"/>
            <wp:wrapNone/>
            <wp:docPr id="3" name="Imagen 3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ϭ굆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C15">
        <w:rPr>
          <w:rFonts w:ascii="Arial" w:hAnsi="Arial" w:cs="Arial"/>
          <w:b/>
          <w:sz w:val="24"/>
          <w:szCs w:val="24"/>
        </w:rPr>
        <w:t>BENEMERITO INSTITUTO NORMAL DEL ESTADO</w:t>
      </w:r>
    </w:p>
    <w:p w:rsidR="00026BD2" w:rsidRPr="006E7C15" w:rsidRDefault="00026BD2" w:rsidP="00026B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C15">
        <w:rPr>
          <w:rFonts w:ascii="Arial" w:hAnsi="Arial" w:cs="Arial"/>
          <w:b/>
          <w:sz w:val="24"/>
          <w:szCs w:val="24"/>
        </w:rPr>
        <w:t xml:space="preserve"> “GRAL. JUAN CRISOSTOMO BONILLA”</w:t>
      </w:r>
      <w:r w:rsidRPr="006E7C15">
        <w:rPr>
          <w:noProof/>
        </w:rPr>
        <w:t xml:space="preserve"> </w:t>
      </w:r>
      <w:r>
        <w:rPr>
          <w:noProof/>
        </w:rPr>
        <w:t xml:space="preserve">                       </w:t>
      </w:r>
    </w:p>
    <w:p w:rsidR="00026BD2" w:rsidRDefault="00026BD2" w:rsidP="00026B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C15">
        <w:rPr>
          <w:rFonts w:ascii="Arial" w:hAnsi="Arial" w:cs="Arial"/>
          <w:b/>
          <w:sz w:val="24"/>
          <w:szCs w:val="24"/>
        </w:rPr>
        <w:t>LICENCIATURA EN EDUCACION PREESCOLAR</w:t>
      </w:r>
    </w:p>
    <w:p w:rsidR="00026BD2" w:rsidRDefault="00026BD2" w:rsidP="00026B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PSICOLOGIA DEL DESARROLLO INFANTIL (0-12 AÑOS)</w:t>
      </w:r>
    </w:p>
    <w:p w:rsidR="00026BD2" w:rsidRDefault="00026BD2" w:rsidP="00026B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Alumna: Acosta González Laura Dayanara   1º “A”</w:t>
      </w:r>
    </w:p>
    <w:p w:rsidR="00026BD2" w:rsidRDefault="00026BD2" w:rsidP="00026B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BD2" w:rsidRDefault="00D55290" w:rsidP="00026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MX"/>
        </w:rPr>
        <w:t>TEORIA CONDUCTISTA DE JOHN WATSON</w:t>
      </w:r>
    </w:p>
    <w:p w:rsidR="00E1113F" w:rsidRDefault="00E1113F" w:rsidP="00E1113F">
      <w:pPr>
        <w:shd w:val="clear" w:color="auto" w:fill="FFFFFF"/>
        <w:spacing w:before="120" w:after="120" w:line="336" w:lineRule="atLeast"/>
        <w:rPr>
          <w:rFonts w:ascii="Arial" w:hAnsi="Arial" w:cs="Arial"/>
          <w:sz w:val="24"/>
          <w:szCs w:val="24"/>
          <w:lang w:eastAsia="es-ES"/>
        </w:rPr>
      </w:pPr>
    </w:p>
    <w:p w:rsidR="00E1113F" w:rsidRDefault="00E436DE" w:rsidP="00E1113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El conductismo</w:t>
      </w:r>
    </w:p>
    <w:p w:rsidR="00E436DE" w:rsidRPr="00E1113F" w:rsidRDefault="00E436DE" w:rsidP="00E1113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s-ES"/>
        </w:rPr>
        <w:t>“basta de estudiar lo que piensa y siente la gente, empecemos a estudiar lo que hace” John B. Watson.</w:t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Watson, John Broadus 1878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–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1958</w:t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John B. Watson fue discípulo de grandes funciona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listas norteamericanos, pero no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habría de desarrollar esta escuela psicológica,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sino que fundó otra escuela de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psicología que se ha venido convirtiendo con el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paso de los años en una de las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más influyentes, la cual se ha diversificado bajo n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umerosas interpretaciones, pero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que, se acepta la definición de la conduc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ta como objeto de estudio de la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psicología.</w:t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En la primera década del presente siglo, la</w:t>
      </w:r>
      <w:r w:rsid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s dos grandes influencias en la </w:t>
      </w:r>
      <w:bookmarkStart w:id="0" w:name="_GoBack"/>
      <w:bookmarkEnd w:id="0"/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psicología eran la escuela estructuralista y la escue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la funcionalista, Watson, quien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fue discípulo del de laberintos, llegando a plantear e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n 1913 con el artículo titulado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"Psichology as the behaviorist views it" la to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ma como objeto de estudio de la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psicología a la conducta, manifestándose en c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ontra de todos aquellos métodos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usados por los introspectistas y los funcionalistas;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éstos últimos en cierto sentido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trataban de desarrollar también una psicología objetiva.</w:t>
      </w:r>
    </w:p>
    <w:p w:rsidR="00E1113F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Edna Heidbreder (1979), propone que el proceso de desarro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llo del conductismo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puede sintetizarse en las tres grandes expos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iciones de Watson: "El primero,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"Behavior an introduction to comparative psychology", apareció en 1914. </w:t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Aclara Watson (1925) que aún en época prevale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cen dos corrientes psicológicas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clarificadas la psicología introspeccionista o s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ubjetiva (con Titchener como su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mejor exponente) y el conductismo o psicología objet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iva (de la cual él mismo era el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mejor expositor), y tal parece que esta escuela in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trospeccionista era hasta antes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de 1912 la que mayor influencia ejercía para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>el estudio de la psicología en los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centros de enseñanza norteamericanos. E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s así como nace el conductismo,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tratando como a su peor enemigo a la conciencia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que era el objeto de estudio de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la psicología introspeccionista, llegando Watson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a comparar este estudio con el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estudio de la magia y postulando que la m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ayoría de las personas se veían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inclinadas a creer ese tipo de conocimientos por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su herencia salvaje proveniente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de anteriores generaciones que atribuían propiedades fantást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icas o espirituales al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comportamiento y a los fenómenos naturales.</w:t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Cuestiona Watson todos los conceptos como "alma", "espíritu, "mente",</w:t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"conciencia", considerando a los últimos co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nceptos como substitutos de los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primeros, y por lo que respecta a Wundt, el p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rimer psicólogo experimental se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enmarcó en una filosofía dualista, al no poder clari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ficar el problema alma-cuerpo y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postulando una psicología conciencia-cuerpo, est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 es, sustituyó un concepto por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otro dejando a la psicología sin posibilidad de realiza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r un análisis científico por la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subjetividad de su objeto.</w:t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Watson tomó como unidad de análisis el parad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igma del reflejo, E -&gt; R, en el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que E significa un estímulo definido como: "Cualq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uier objeto externo o cualquier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cambio en los tejidos mismos debido a la condición fi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siológica del animal..." Y la R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significa respuesta que a su vez se define de l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a siguiente manera: "Entendemos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por respuesta todo lo que el animal hace, com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 volverse hacia o en dirección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opuesta a la luz, saltar al oír un sonido,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 las actividades más altamente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organizadas, por ejemplo: edificar un rascacielos,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dibujar planos, tener familia,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escribir libros" (Watson, 1925).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cr/>
      </w:r>
    </w:p>
    <w:p w:rsidR="00832AFD" w:rsidRPr="005B2BA3" w:rsidRDefault="00832AFD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Teniendo ya Watson un objeto de estudio definid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 y un modelo o paradigma, pasó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al tercer punto que era el del método, y como anteri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ormente lo vimos, la influencia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filosófica de su época lo llevó a utilizar el métod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 de las ciencias naturales: La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experimentación u observación controlada. Au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n cuando en un principio con su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tesis Watson trabajó con animales, recurrió d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espués a la experimentación con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niños en guarderías, y he aquí la gran contribu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ción Pavlov, ya que la forma de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experimentar de Watson era a través de la forma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ción de condicionamientos a los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niños desarrollando la tesis de Pavlov en el sent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ido de que existen los reflejos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incondicionados o innatos, y aquellos aprendidos 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o condicionados, de esta manera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toda la conducta se puede diferenciar en innat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a o aprendida, incondicionada y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condicionada, y es suficiente para su análisis, de ma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nera que si toda la conducta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es susceptible de ser condicionada, entonces como</w:t>
      </w:r>
      <w:r w:rsidR="005B2BA3"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cualquier otra ciencia natural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también puede ser predecida y por lo tanto controlada.</w:t>
      </w:r>
    </w:p>
    <w:p w:rsidR="005B2BA3" w:rsidRPr="005B2BA3" w:rsidRDefault="005B2BA3" w:rsidP="00832A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B2BA3" w:rsidRPr="005B2BA3" w:rsidRDefault="005B2BA3" w:rsidP="005B2BA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 xml:space="preserve">Para Watson la ciencia compañera de la psicología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era la fisiología, con la única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diferencia no en los principios fundamentales,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sino, en el ordenamiento de sus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problemas (1925). Mientras que la fisiología se in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teresa por el funcionamiento de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los órganos corazón, glándulas, etc., a la ps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icología le interesa lo que los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organismos hacen todo el tiempo, pero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de una manera molar, es decir,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considerándolo como un todo, y así controlar d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e la misma manera que la física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hace con su objeto estudio. Como él lo manifiesta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en "Behaviorism" (1925): "dado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el estímulo, poder predecir la respuesta, o viendo que reacción tiene lugar, inferir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cual es el estímulo que la ha provocado". Aqu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 xml:space="preserve">í es donde Watson manifiesta su 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t>principal objetivo.</w:t>
      </w:r>
      <w:r w:rsidRPr="005B2BA3">
        <w:rPr>
          <w:rFonts w:ascii="Comic Sans MS" w:hAnsi="Comic Sans MS" w:cs="Arial"/>
          <w:color w:val="000000" w:themeColor="text1"/>
          <w:sz w:val="24"/>
          <w:szCs w:val="24"/>
        </w:rPr>
        <w:cr/>
      </w:r>
    </w:p>
    <w:sectPr w:rsidR="005B2BA3" w:rsidRPr="005B2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96" w:rsidRDefault="00E43D96" w:rsidP="00893CDE">
      <w:pPr>
        <w:spacing w:after="0" w:line="240" w:lineRule="auto"/>
      </w:pPr>
      <w:r>
        <w:separator/>
      </w:r>
    </w:p>
  </w:endnote>
  <w:endnote w:type="continuationSeparator" w:id="0">
    <w:p w:rsidR="00E43D96" w:rsidRDefault="00E43D96" w:rsidP="0089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96" w:rsidRDefault="00E43D96" w:rsidP="00893CDE">
      <w:pPr>
        <w:spacing w:after="0" w:line="240" w:lineRule="auto"/>
      </w:pPr>
      <w:r>
        <w:separator/>
      </w:r>
    </w:p>
  </w:footnote>
  <w:footnote w:type="continuationSeparator" w:id="0">
    <w:p w:rsidR="00E43D96" w:rsidRDefault="00E43D96" w:rsidP="0089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A74"/>
    <w:multiLevelType w:val="hybridMultilevel"/>
    <w:tmpl w:val="9588FF98"/>
    <w:lvl w:ilvl="0" w:tplc="F3C2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0F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4C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00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08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643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81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60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E8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69EE"/>
    <w:multiLevelType w:val="hybridMultilevel"/>
    <w:tmpl w:val="21DC4B0C"/>
    <w:lvl w:ilvl="0" w:tplc="7958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E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8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6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0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223574"/>
    <w:multiLevelType w:val="hybridMultilevel"/>
    <w:tmpl w:val="AEAC6BE0"/>
    <w:lvl w:ilvl="0" w:tplc="CA5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04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07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46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C9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E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25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2C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C0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15D86"/>
    <w:multiLevelType w:val="hybridMultilevel"/>
    <w:tmpl w:val="3F4CCC7A"/>
    <w:lvl w:ilvl="0" w:tplc="0226D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E1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AD5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28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80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0B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6B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9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A4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D27C6"/>
    <w:multiLevelType w:val="hybridMultilevel"/>
    <w:tmpl w:val="973AF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1282"/>
    <w:multiLevelType w:val="multilevel"/>
    <w:tmpl w:val="6FD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9D3573"/>
    <w:multiLevelType w:val="hybridMultilevel"/>
    <w:tmpl w:val="5E36A234"/>
    <w:lvl w:ilvl="0" w:tplc="1376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948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7DC66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92CA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22C8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2C70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B6B6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6421A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B9AFD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EC"/>
    <w:rsid w:val="00026BD2"/>
    <w:rsid w:val="00063B0C"/>
    <w:rsid w:val="00071609"/>
    <w:rsid w:val="000E2D52"/>
    <w:rsid w:val="00106461"/>
    <w:rsid w:val="00150C2F"/>
    <w:rsid w:val="00156BEC"/>
    <w:rsid w:val="001F1703"/>
    <w:rsid w:val="00202973"/>
    <w:rsid w:val="00226C44"/>
    <w:rsid w:val="002833CC"/>
    <w:rsid w:val="002C7C61"/>
    <w:rsid w:val="003010E0"/>
    <w:rsid w:val="003717A6"/>
    <w:rsid w:val="0037617D"/>
    <w:rsid w:val="003C0788"/>
    <w:rsid w:val="003F3348"/>
    <w:rsid w:val="0042544A"/>
    <w:rsid w:val="00445205"/>
    <w:rsid w:val="00472638"/>
    <w:rsid w:val="004A6897"/>
    <w:rsid w:val="004C25BC"/>
    <w:rsid w:val="004D13D3"/>
    <w:rsid w:val="004E5811"/>
    <w:rsid w:val="00512636"/>
    <w:rsid w:val="005214F9"/>
    <w:rsid w:val="00524F64"/>
    <w:rsid w:val="005319B6"/>
    <w:rsid w:val="0055120F"/>
    <w:rsid w:val="00592D62"/>
    <w:rsid w:val="005A7BAD"/>
    <w:rsid w:val="005B2BA3"/>
    <w:rsid w:val="005B4464"/>
    <w:rsid w:val="005B7092"/>
    <w:rsid w:val="006912C1"/>
    <w:rsid w:val="006A1D47"/>
    <w:rsid w:val="006D2523"/>
    <w:rsid w:val="006D44FD"/>
    <w:rsid w:val="006E3B16"/>
    <w:rsid w:val="006E3BF9"/>
    <w:rsid w:val="006F122D"/>
    <w:rsid w:val="006F44A5"/>
    <w:rsid w:val="006F4CC3"/>
    <w:rsid w:val="00715034"/>
    <w:rsid w:val="007206F4"/>
    <w:rsid w:val="00732BD5"/>
    <w:rsid w:val="007538D5"/>
    <w:rsid w:val="00772885"/>
    <w:rsid w:val="00775EDE"/>
    <w:rsid w:val="00793BFA"/>
    <w:rsid w:val="00797D0D"/>
    <w:rsid w:val="007E4CEB"/>
    <w:rsid w:val="0082128C"/>
    <w:rsid w:val="00821A77"/>
    <w:rsid w:val="00832AFD"/>
    <w:rsid w:val="00844B79"/>
    <w:rsid w:val="008513CB"/>
    <w:rsid w:val="00893CDE"/>
    <w:rsid w:val="008963CE"/>
    <w:rsid w:val="008A2DF9"/>
    <w:rsid w:val="008C25C2"/>
    <w:rsid w:val="008C7D55"/>
    <w:rsid w:val="008F5FC4"/>
    <w:rsid w:val="00910D18"/>
    <w:rsid w:val="00956485"/>
    <w:rsid w:val="00973A1C"/>
    <w:rsid w:val="00985A9C"/>
    <w:rsid w:val="009B28F0"/>
    <w:rsid w:val="009E053D"/>
    <w:rsid w:val="00A35024"/>
    <w:rsid w:val="00A47ED2"/>
    <w:rsid w:val="00A66EA3"/>
    <w:rsid w:val="00AD77D9"/>
    <w:rsid w:val="00B03897"/>
    <w:rsid w:val="00B04584"/>
    <w:rsid w:val="00B1451E"/>
    <w:rsid w:val="00B45EF6"/>
    <w:rsid w:val="00B55DAF"/>
    <w:rsid w:val="00B84060"/>
    <w:rsid w:val="00B87E72"/>
    <w:rsid w:val="00BA551B"/>
    <w:rsid w:val="00BC5B3F"/>
    <w:rsid w:val="00BE2375"/>
    <w:rsid w:val="00C54ABC"/>
    <w:rsid w:val="00C57EB9"/>
    <w:rsid w:val="00C62192"/>
    <w:rsid w:val="00C70C4C"/>
    <w:rsid w:val="00CD458F"/>
    <w:rsid w:val="00CF2086"/>
    <w:rsid w:val="00D225AF"/>
    <w:rsid w:val="00D4251D"/>
    <w:rsid w:val="00D55290"/>
    <w:rsid w:val="00D57882"/>
    <w:rsid w:val="00D6715C"/>
    <w:rsid w:val="00D73F92"/>
    <w:rsid w:val="00DA4EBF"/>
    <w:rsid w:val="00DD4D4B"/>
    <w:rsid w:val="00DD681D"/>
    <w:rsid w:val="00DE5DF1"/>
    <w:rsid w:val="00E1113F"/>
    <w:rsid w:val="00E436DE"/>
    <w:rsid w:val="00E43D96"/>
    <w:rsid w:val="00EA2FB8"/>
    <w:rsid w:val="00EB441A"/>
    <w:rsid w:val="00EC7F33"/>
    <w:rsid w:val="00EE61D4"/>
    <w:rsid w:val="00F02D26"/>
    <w:rsid w:val="00F03678"/>
    <w:rsid w:val="00F16AD5"/>
    <w:rsid w:val="00F2135C"/>
    <w:rsid w:val="00F370CE"/>
    <w:rsid w:val="00F429E3"/>
    <w:rsid w:val="00F776B8"/>
    <w:rsid w:val="00FA05B8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378E-FADC-4540-9245-8F9E2EE6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CDE"/>
  </w:style>
  <w:style w:type="paragraph" w:styleId="Piedepgina">
    <w:name w:val="footer"/>
    <w:basedOn w:val="Normal"/>
    <w:link w:val="PiedepginaCar"/>
    <w:uiPriority w:val="99"/>
    <w:unhideWhenUsed/>
    <w:rsid w:val="0089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CDE"/>
  </w:style>
  <w:style w:type="table" w:styleId="Tablaconcuadrcula">
    <w:name w:val="Table Grid"/>
    <w:basedOn w:val="Tablanormal"/>
    <w:uiPriority w:val="39"/>
    <w:rsid w:val="0015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5290"/>
  </w:style>
  <w:style w:type="character" w:styleId="Hipervnculo">
    <w:name w:val="Hyperlink"/>
    <w:basedOn w:val="Fuentedeprrafopredeter"/>
    <w:uiPriority w:val="99"/>
    <w:semiHidden/>
    <w:unhideWhenUsed/>
    <w:rsid w:val="00D5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3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2</cp:revision>
  <dcterms:created xsi:type="dcterms:W3CDTF">2015-01-14T02:31:00Z</dcterms:created>
  <dcterms:modified xsi:type="dcterms:W3CDTF">2015-01-14T02:31:00Z</dcterms:modified>
</cp:coreProperties>
</file>